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 پرستاری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Mitra"/>
          <w:b/>
          <w:bCs/>
          <w:rtl/>
        </w:rPr>
        <w:t xml:space="preserve"> </w:t>
      </w:r>
      <w:r>
        <w:rPr>
          <w:rStyle w:val="28"/>
          <w:rFonts w:hint="default"/>
          <w:rtl/>
        </w:rPr>
        <w:t>اورژانس پیش بیمارستانی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08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نوع و تعداد واحد: تئوری، 5/1 واحد تئوری، 2 واحد کارآموزی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نام مسؤول درس: دکتر زهرا عباسی دولت آبادی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مدرس/ مدرسان:    دکتر زهرا روددهقان،  دکتر زهرا عباسی دولت آبادی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زمان: ندارد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 پرستاری، کارشناسی ارشد پرستاری اورژانس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رشته تخصصی: دکترای تخصصی سلامت در بلایا و فوریت ها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محل کار: دانشکده پرستاری و مامایی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تماس:02161054329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 </w:t>
      </w:r>
      <w:r>
        <w:rPr>
          <w:rFonts w:cs="B Nazanin" w:asciiTheme="majorBidi" w:hAnsiTheme="majorBidi"/>
          <w:sz w:val="24"/>
          <w:szCs w:val="24"/>
          <w:lang w:bidi="fa-IR"/>
        </w:rPr>
        <w:t>Zahra_abasi2000@yahoo.com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>
      <w:pPr>
        <w:autoSpaceDE w:val="0"/>
        <w:autoSpaceDN w:val="0"/>
        <w:bidi/>
        <w:adjustRightInd w:val="0"/>
        <w:jc w:val="both"/>
        <w:rPr>
          <w:rFonts w:cs="B Nazanin"/>
          <w:color w:val="000000"/>
          <w:sz w:val="24"/>
          <w:szCs w:val="24"/>
          <w:lang w:bidi="fa-IR"/>
        </w:rPr>
      </w:pPr>
      <w:r>
        <w:rPr>
          <w:rFonts w:hint="cs" w:cs="B Nazanin"/>
          <w:color w:val="000000"/>
          <w:sz w:val="24"/>
          <w:szCs w:val="24"/>
          <w:rtl/>
        </w:rPr>
        <w:t xml:space="preserve">در این درس فراگیران </w:t>
      </w:r>
      <w:r>
        <w:rPr>
          <w:rFonts w:cs="B Nazanin"/>
          <w:color w:val="000000"/>
          <w:sz w:val="24"/>
          <w:szCs w:val="24"/>
          <w:rtl/>
        </w:rPr>
        <w:t>با</w:t>
      </w:r>
      <w:r>
        <w:rPr>
          <w:rFonts w:cs="B Nazanin"/>
          <w:color w:val="000000"/>
          <w:sz w:val="24"/>
          <w:szCs w:val="24"/>
        </w:rPr>
        <w:t xml:space="preserve"> </w:t>
      </w:r>
      <w:r>
        <w:rPr>
          <w:rFonts w:hint="cs" w:cs="B Nazanin"/>
          <w:color w:val="000000"/>
          <w:sz w:val="24"/>
          <w:szCs w:val="24"/>
          <w:rtl/>
          <w:lang w:bidi="fa-IR"/>
        </w:rPr>
        <w:t>ویژگی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hint="cs" w:cs="B Nazanin"/>
          <w:color w:val="000000"/>
          <w:sz w:val="24"/>
          <w:szCs w:val="24"/>
          <w:rtl/>
          <w:lang w:bidi="fa-IR"/>
        </w:rPr>
        <w:t>های فعالیت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hint="cs" w:cs="B Nazanin"/>
          <w:color w:val="000000"/>
          <w:sz w:val="24"/>
          <w:szCs w:val="24"/>
          <w:rtl/>
          <w:lang w:bidi="fa-IR"/>
        </w:rPr>
        <w:t>ها در اورژانس پیش بیمارستانی، بخش اورژانس، تعداد پرسنل مورد نیاز و ویژگی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hint="cs" w:cs="B Nazanin"/>
          <w:color w:val="000000"/>
          <w:sz w:val="24"/>
          <w:szCs w:val="24"/>
          <w:rtl/>
          <w:lang w:bidi="fa-IR"/>
        </w:rPr>
        <w:t>های خدمات انجام شده در مراحل پیش بیمارستانی، بخش اورژانس و ساختار بخش اورژانس آشنا می</w:t>
      </w:r>
      <w:r>
        <w:rPr>
          <w:rFonts w:cs="B Nazanin"/>
          <w:color w:val="000000"/>
          <w:sz w:val="24"/>
          <w:szCs w:val="24"/>
          <w:rtl/>
          <w:lang w:bidi="fa-IR"/>
        </w:rPr>
        <w:softHyphen/>
      </w:r>
      <w:r>
        <w:rPr>
          <w:rFonts w:hint="cs" w:cs="B Nazanin"/>
          <w:color w:val="000000"/>
          <w:sz w:val="24"/>
          <w:szCs w:val="24"/>
          <w:rtl/>
          <w:lang w:bidi="fa-IR"/>
        </w:rPr>
        <w:t xml:space="preserve">شود. در این درس تلاش می شود تا فراگیران دیدی جامع به مراقبت های اورژانسی پیدا کنند و درک مناسبی از تفاوت میان مراقبت اورژانس پیش بیمارستانی و بیمارستانی پیدا کنند. </w:t>
      </w:r>
    </w:p>
    <w:p>
      <w:pPr>
        <w:autoSpaceDE w:val="0"/>
        <w:autoSpaceDN w:val="0"/>
        <w:bidi/>
        <w:adjustRightInd w:val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tl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/>
          <w:sz w:val="28"/>
          <w:szCs w:val="28"/>
          <w:rtl/>
        </w:rPr>
        <w:t xml:space="preserve">آشنایی فراگیران  با مراقبت ها و اقدامات در اورژانس پیش بیمارستانی و اورژانس بیمارستانی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آشنایی فراگیران با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 xml:space="preserve">سیستم های اورژانس پیش بیمارستانی و اورژانس بیمارستانی 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آشنایی فراگیران با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انواع تجهیزات اورژانس پیش بیمارستانی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آشنایی فراگیران با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استانداردهای سازه ای اورژانس بیمارستانی در ایران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بیمارستان صحرایی، اجزای آن، انتخاب مکان مناسب جهت برپایی بیمارستان صحرایی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اصول ایمنی صحنه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آشنایی فراگیران با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اصول </w:t>
      </w:r>
      <w:r>
        <w:rPr>
          <w:rFonts w:hint="cs" w:cs="B Nazanin"/>
          <w:b/>
          <w:bCs/>
          <w:sz w:val="24"/>
          <w:szCs w:val="24"/>
          <w:rtl/>
          <w:lang w:bidi="fa-IR"/>
        </w:rPr>
        <w:t>ارزیابی اولیه و ثانویه مصدوم در صحنه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آشنایی فراگیران با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روش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های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جا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به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جایی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و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انتقال</w:t>
      </w:r>
      <w:r>
        <w:rPr>
          <w:rFonts w:ascii="Times New Roman" w:hAnsi="Times New Roman" w:eastAsia="Times New Roman" w:cs="B Mitra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sz w:val="24"/>
          <w:szCs w:val="24"/>
          <w:rtl/>
        </w:rPr>
        <w:t>مصدوم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تریاژ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>ESI/START, JUMP START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تریاژ تلفنی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اصول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مراقبت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از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مصدوم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ترومایی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در اورژانس پیش</w:t>
      </w:r>
      <w:r>
        <w:rPr>
          <w:rFonts w:ascii="Times New Roman" w:hAnsi="Times New Roman" w:eastAsia="Times New Roman" w:cs="B Mitra"/>
          <w:b/>
          <w:bCs/>
          <w:color w:val="000000"/>
          <w:rtl/>
        </w:rPr>
        <w:t xml:space="preserve"> </w:t>
      </w:r>
      <w:r>
        <w:rPr>
          <w:rFonts w:hint="cs" w:ascii="Times New Roman" w:hAnsi="Times New Roman" w:eastAsia="Times New Roman" w:cs="B Mitra"/>
          <w:b/>
          <w:bCs/>
          <w:color w:val="000000"/>
          <w:rtl/>
        </w:rPr>
        <w:t>بیمارستانی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اصول</w:t>
      </w:r>
      <w:r>
        <w:rPr>
          <w:rFonts w:hint="cs"/>
          <w:rtl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مراقبت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بیمارستانی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در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حوادث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>CBRNE</w:t>
      </w:r>
    </w:p>
    <w:p>
      <w:pPr>
        <w:pStyle w:val="15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آشنایی فراگیران با اصول</w:t>
      </w:r>
      <w:r>
        <w:rPr>
          <w:rFonts w:hint="cs"/>
          <w:rtl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مراقبت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بیمارستانی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در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اختلالات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روانی</w:t>
      </w: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bidi/>
        <w:spacing w:before="120"/>
        <w:jc w:val="lowKashida"/>
        <w:rPr>
          <w:rFonts w:cs="B Nazanin"/>
          <w:sz w:val="28"/>
          <w:szCs w:val="28"/>
          <w:rtl/>
        </w:rPr>
      </w:pPr>
      <w:r>
        <w:rPr>
          <w:rFonts w:hint="cs" w:cs="B Nazanin"/>
          <w:sz w:val="28"/>
          <w:szCs w:val="28"/>
          <w:rtl/>
        </w:rPr>
        <w:t>در پايان اين دوره دانشجويان قادر خواهند بود: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اهم اقدامات و مراقبت های قابل ارائه در اورژانس پیش بیمارستانی را با اورژانس بیمارستانی مقایسه نمایند. 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قادر به ارزیابی استانداردهای سازه ای بخش اورژانس در بیمارستان های کشور هستند. 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قادر به پیاده سازی و نظارت بر اصول ایمنی صحنه هستند.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قادر به انجام ارزیابی اولیه و ثانویه مصدومین در اورژانس پیش بیمارستانی و بیمارستانی هستند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قادر به حمل بیمار با روش های مختلف هستند .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قادر به ارائه مراقبت به مصدومین ترومایی در اورژانس پیش بیمارستانی هستند. 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قادر به انجام اقدامات ضروری در حوادث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>CBRNE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هستند. </w:t>
      </w:r>
    </w:p>
    <w:p>
      <w:pPr>
        <w:bidi/>
        <w:spacing w:before="12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قادر به ارائه خدمات به مبتلایان به اختلالات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روانی هستند.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10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0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4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</w:t>
            </w:r>
            <w:r>
              <w:rPr>
                <w:rFonts w:hint="cs" w:ascii="Arial" w:hAnsi="Arial" w:eastAsia="Calibri" w:cs="B Nazanin"/>
                <w:rtl/>
                <w:lang w:bidi="fa-IR"/>
              </w:rPr>
              <w:t>مجازی</w:t>
            </w:r>
            <w:r>
              <w:rPr>
                <w:rStyle w:val="10"/>
                <w:rFonts w:ascii="Arial" w:hAnsi="Arial" w:eastAsia="Calibri" w:cs="B Nazanin"/>
                <w:rtl/>
                <w:lang w:bidi="fa-IR"/>
              </w:rPr>
              <w:footnoteReference w:id="1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ترکیبی</w:t>
            </w:r>
            <w:r>
              <w:rPr>
                <w:rStyle w:val="10"/>
                <w:rFonts w:ascii="Arial" w:hAnsi="Arial" w:eastAsia="Calibri" w:cs="B Nazanin"/>
                <w:rtl/>
              </w:rPr>
              <w:footnoteReference w:id="2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کلاس وارونه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سناریوی متنی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بحث در گروههای کوچک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ایفای نقش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تیم (</w:t>
      </w:r>
      <w:r>
        <w:rPr>
          <w:rFonts w:eastAsia="Calibri" w:cs="B Nazanin" w:asciiTheme="majorBidi" w:hAnsiTheme="majorBidi"/>
          <w:sz w:val="20"/>
          <w:szCs w:val="20"/>
        </w:rPr>
        <w:t>TBL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سناریو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استفاده از فراگیران در تدریس (تدریس توسط همتایان)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ترکیبی از روش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لطفا نام ببرید ....................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17"/>
        <w:tblW w:w="0" w:type="auto"/>
        <w:tblInd w:w="265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03"/>
        <w:gridCol w:w="2295"/>
        <w:gridCol w:w="2031"/>
        <w:gridCol w:w="1282"/>
        <w:gridCol w:w="667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07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تاریخ ارائه </w:t>
            </w:r>
          </w:p>
        </w:tc>
        <w:tc>
          <w:tcPr>
            <w:tcW w:w="1603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29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یادگیری/ تکالیف دانشجو</w:t>
            </w:r>
          </w:p>
        </w:tc>
        <w:tc>
          <w:tcPr>
            <w:tcW w:w="2031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1282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66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16/11/1401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حضور فعال و مشارکت در 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توضیح طرح درس، معرفی سیستم های اورژانس پیش بیمارستانی در دنیا و ایران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16/11/1401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حضور فعال و مشارکت در 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انواع آمبولانس ها و تجهیزات آنها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7/12/1401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حضور فعال و مشارکت در 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استاندارد سازه ای بخش اورژانس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23/11/1401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ایمنی صحنه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23/11/1401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ارزیابی اولیه و ثانویه مصدوم در صحنه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30/11/1401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 xml:space="preserve">روش های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 xml:space="preserve">جا به جایی و </w:t>
            </w:r>
            <w:r>
              <w:rPr>
                <w:rFonts w:hint="cs" w:cs="B Nazanin"/>
                <w:sz w:val="24"/>
                <w:szCs w:val="24"/>
                <w:rtl/>
              </w:rPr>
              <w:t>انتقال مصدوم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30/11/1401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>پیشگیری و کنترل عفونت در اورژانس پیش بیمارستانی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14/12/1401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 xml:space="preserve">تریاژ </w:t>
            </w:r>
            <w:r>
              <w:rPr>
                <w:rFonts w:cs="B Nazanin"/>
                <w:sz w:val="24"/>
                <w:szCs w:val="24"/>
              </w:rPr>
              <w:t>ESI/START, JUMP START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، تریاژ تلفنی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21/12/1401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 xml:space="preserve">مراقبت از مصدوم ترومایی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پیش بیمارستانی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7/12/1401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بیمارستان صحرایی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14/12/1401</w:t>
            </w:r>
          </w:p>
        </w:tc>
        <w:tc>
          <w:tcPr>
            <w:tcW w:w="160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روددهقان</w:t>
            </w:r>
          </w:p>
        </w:tc>
        <w:tc>
          <w:tcPr>
            <w:tcW w:w="22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حضور فعال و مشارکت در 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 xml:space="preserve">مراقبت پیش بیمارستانی در حوادث </w:t>
            </w:r>
            <w:r>
              <w:rPr>
                <w:rFonts w:cs="B Nazanin"/>
                <w:sz w:val="24"/>
                <w:szCs w:val="24"/>
              </w:rPr>
              <w:t>CBRNE</w:t>
            </w:r>
          </w:p>
        </w:tc>
        <w:tc>
          <w:tcPr>
            <w:tcW w:w="667" w:type="dxa"/>
            <w:shd w:val="clear" w:color="auto" w:fill="DAEEF3" w:themeFill="accent5" w:themeFillTint="33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21/12/1401</w:t>
            </w:r>
          </w:p>
        </w:tc>
        <w:tc>
          <w:tcPr>
            <w:tcW w:w="1603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دکتر عباسی دولت آبادی</w:t>
            </w:r>
          </w:p>
        </w:tc>
        <w:tc>
          <w:tcPr>
            <w:tcW w:w="2295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حضور فعال و مشارکت در </w:t>
            </w:r>
          </w:p>
          <w:p>
            <w:pPr>
              <w:bidi/>
              <w:spacing w:after="0" w:line="240" w:lineRule="auto"/>
              <w:ind w:left="1440" w:hanging="1440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بحث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3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سخنرانی تعاملی ، بحث در گروه کوچک، یادگیری مبتنی بر حل مسئله (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PBL</w:t>
            </w: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28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cs="B Nazanin"/>
                <w:sz w:val="24"/>
                <w:szCs w:val="24"/>
                <w:rtl/>
              </w:rPr>
              <w:t xml:space="preserve">مراقبت </w:t>
            </w:r>
            <w:r>
              <w:rPr>
                <w:rFonts w:hint="cs" w:cs="B Nazanin"/>
                <w:sz w:val="24"/>
                <w:szCs w:val="24"/>
                <w:rtl/>
                <w:lang w:bidi="fa-IR"/>
              </w:rPr>
              <w:t>پیش بیمارستانی در اختلالات روانی</w:t>
            </w:r>
          </w:p>
        </w:tc>
        <w:tc>
          <w:tcPr>
            <w:tcW w:w="667" w:type="dxa"/>
          </w:tcPr>
          <w:p>
            <w:pPr>
              <w:pStyle w:val="15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>
      <w:pPr>
        <w:tabs>
          <w:tab w:val="left" w:pos="810"/>
        </w:tabs>
        <w:bidi/>
        <w:spacing w:before="240"/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 به موقع و فعال  در تمامی جلسات آنلاین کلاس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ارائه به موقع پروژه های تعیین شده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>
      <w:pPr>
        <w:pStyle w:val="15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نوع ارزیابی (تکوینی/تراکمی)</w:t>
      </w:r>
      <w:r>
        <w:rPr>
          <w:rStyle w:val="10"/>
          <w:rFonts w:cs="B Nazanin" w:asciiTheme="majorBidi" w:hAnsiTheme="majorBidi"/>
          <w:sz w:val="24"/>
          <w:szCs w:val="24"/>
          <w:rtl/>
          <w:lang w:bidi="fa-IR"/>
        </w:rPr>
        <w:footnoteReference w:id="3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                   </w:t>
      </w:r>
    </w:p>
    <w:p>
      <w:pPr>
        <w:pStyle w:val="15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روش ارزیابی دانشجو</w:t>
      </w:r>
    </w:p>
    <w:p>
      <w:pPr>
        <w:pStyle w:val="15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سهم ارزشیابی هر روش در نمره نهایی دانشجو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ارزیابی دانشجو در این درس با تلفیق دو روش تکوینی و تراکمی انجام خواهد شد. براساس حضور در کلاس مجازی و مشارکت در بحش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 جهت پاسخ به سناریوهای طراحی شده و همچنین کیفیت و زمان ارائه پروژه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های، ارزشیابی تکوینی انجام خواهد شد. جهت انجام ارزیابی نهایی فراگیراندر این درس نیز در انتهای دوره، با هدف ارزیابی تراکمی، پروژه ای برای فراگیرانطراحی خواهد شد و براساس کیفیت پاسخ به پروژه و دستیابی به اهداف در نظر گرفته شده در سناریوهای تعریف شده در این پروژه به دانشجویان، نمره تعلق خواهد گرفت. 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بدین ترتیب، 60% نمره این درس از ارزیابی تکوینی در طی دوره </w:t>
      </w:r>
      <w:bookmarkStart w:id="0" w:name="_GoBack"/>
      <w:bookmarkEnd w:id="0"/>
      <w:r>
        <w:rPr>
          <w:rFonts w:hint="cs" w:cs="B Nazanin" w:asciiTheme="majorBidi" w:hAnsiTheme="majorBidi"/>
          <w:sz w:val="24"/>
          <w:szCs w:val="24"/>
          <w:rtl/>
          <w:lang w:bidi="fa-IR"/>
        </w:rPr>
        <w:t>و 30% نمره براساس ارزیابی تراکمی در انتهای دوره، اعلام خواهد شد. همچنین 10 % نمره این درس براساس رعایت پوشش حرفه ای دانشجو اعلام خواهد شد.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>
      <w:pPr>
        <w:pStyle w:val="15"/>
        <w:numPr>
          <w:ilvl w:val="0"/>
          <w:numId w:val="4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فوریت های پزشکی در اورژانس پیش بیمارستانی، جلد 1 تا 3، کولیوند و همکاران، وزارت بهداشت، درمان و آموزش پزشکی، سازمان اورژانس کشور. انتشارات آرتین طب، 1399. </w:t>
      </w:r>
    </w:p>
    <w:p>
      <w:pPr>
        <w:pStyle w:val="15"/>
        <w:numPr>
          <w:ilvl w:val="0"/>
          <w:numId w:val="4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درمان های گام به گام در اورژانس پیش بیمارستانی، آقازاده و همکاران، وزارت بهداشت، درمان و آموزش پزشکی، سازمان اورژانس کشور. انتشارات سپید برگ، 1400. </w:t>
      </w:r>
    </w:p>
    <w:p>
      <w:pPr>
        <w:pStyle w:val="15"/>
        <w:numPr>
          <w:ilvl w:val="0"/>
          <w:numId w:val="4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دستورالعمل تریاژ بخش اورژانس بیمارستانی به انضمام ملاحظات تریاژ عفونی و کووید 19، ویرایش چهارم، وزارت بهداشت، درمان و آموزش پزشکی، معاونت درمان، کمیته کشوری تریاژ اورژانس بیمارستانی، جان بابایی قاسم و همکاران، 1399.</w:t>
      </w:r>
    </w:p>
    <w:p>
      <w:pPr>
        <w:pStyle w:val="15"/>
        <w:numPr>
          <w:ilvl w:val="0"/>
          <w:numId w:val="4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تریاژ بیمارستانی در بلایا و حوادث با مصدومین انبوه، خانکه و همکاران، وزارت بهداشت، درمان و آموزش پزشکی، سازمان اورژانس کشور. انتشارات تندیس. 1397. </w:t>
      </w:r>
    </w:p>
    <w:p>
      <w:pPr>
        <w:pStyle w:val="1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Classification and minimum standards for foreign medical teams in sudden onset disasters. The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Global Health Cluster, World Health Organization. </w:t>
      </w:r>
      <w:r>
        <w:rPr>
          <w:rFonts w:ascii="Times New Roman" w:hAnsi="Times New Roman" w:cs="Times New Roman"/>
          <w:sz w:val="24"/>
          <w:szCs w:val="24"/>
          <w:lang w:bidi="fa-IR"/>
        </w:rPr>
        <w:t>2013.</w:t>
      </w: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6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1">
    <w:p>
      <w:pPr>
        <w:pStyle w:val="11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2">
    <w:p>
      <w:pPr>
        <w:pStyle w:val="11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3">
    <w:p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  <w:p>
      <w:pPr>
        <w:pStyle w:val="11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21B8F"/>
    <w:multiLevelType w:val="multilevel"/>
    <w:tmpl w:val="0F421B8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A443A"/>
    <w:multiLevelType w:val="multilevel"/>
    <w:tmpl w:val="361A44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946C71"/>
    <w:multiLevelType w:val="multilevel"/>
    <w:tmpl w:val="76946C71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 w:ascii="Times New Roman" w:hAnsi="Times New Roman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435B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5D31"/>
    <w:rsid w:val="000E701A"/>
    <w:rsid w:val="000F3FF3"/>
    <w:rsid w:val="000F48CF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3073B8"/>
    <w:rsid w:val="00307EE3"/>
    <w:rsid w:val="003208E8"/>
    <w:rsid w:val="003225EB"/>
    <w:rsid w:val="00336EBE"/>
    <w:rsid w:val="00337E9D"/>
    <w:rsid w:val="00357089"/>
    <w:rsid w:val="00364A0B"/>
    <w:rsid w:val="00366A61"/>
    <w:rsid w:val="00367E16"/>
    <w:rsid w:val="003747ED"/>
    <w:rsid w:val="0038172F"/>
    <w:rsid w:val="003909B8"/>
    <w:rsid w:val="003A4B06"/>
    <w:rsid w:val="003C19F8"/>
    <w:rsid w:val="003C3250"/>
    <w:rsid w:val="003D5FAE"/>
    <w:rsid w:val="003F5911"/>
    <w:rsid w:val="004005EE"/>
    <w:rsid w:val="004012AB"/>
    <w:rsid w:val="00401B3A"/>
    <w:rsid w:val="00420516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0904"/>
    <w:rsid w:val="004D3233"/>
    <w:rsid w:val="004E2BE7"/>
    <w:rsid w:val="004E306D"/>
    <w:rsid w:val="004E70F4"/>
    <w:rsid w:val="004F0DD5"/>
    <w:rsid w:val="004F2009"/>
    <w:rsid w:val="004F3A5F"/>
    <w:rsid w:val="004F3E48"/>
    <w:rsid w:val="00505865"/>
    <w:rsid w:val="00527E9F"/>
    <w:rsid w:val="00531522"/>
    <w:rsid w:val="00551073"/>
    <w:rsid w:val="00562721"/>
    <w:rsid w:val="005759AB"/>
    <w:rsid w:val="00584D2D"/>
    <w:rsid w:val="00592F5F"/>
    <w:rsid w:val="005957C4"/>
    <w:rsid w:val="005A67D4"/>
    <w:rsid w:val="005A73D4"/>
    <w:rsid w:val="005D12DC"/>
    <w:rsid w:val="005E03FB"/>
    <w:rsid w:val="005E1787"/>
    <w:rsid w:val="005E730A"/>
    <w:rsid w:val="005F151B"/>
    <w:rsid w:val="005F23E2"/>
    <w:rsid w:val="0060305C"/>
    <w:rsid w:val="0062048A"/>
    <w:rsid w:val="00621658"/>
    <w:rsid w:val="00623E92"/>
    <w:rsid w:val="00632F6B"/>
    <w:rsid w:val="0065017B"/>
    <w:rsid w:val="006562BE"/>
    <w:rsid w:val="0067621F"/>
    <w:rsid w:val="00684E56"/>
    <w:rsid w:val="00694762"/>
    <w:rsid w:val="006A3703"/>
    <w:rsid w:val="006B0919"/>
    <w:rsid w:val="006C3301"/>
    <w:rsid w:val="006D3474"/>
    <w:rsid w:val="006D4F70"/>
    <w:rsid w:val="006E5B52"/>
    <w:rsid w:val="006F2260"/>
    <w:rsid w:val="006F6216"/>
    <w:rsid w:val="00712158"/>
    <w:rsid w:val="00716BE3"/>
    <w:rsid w:val="0073222F"/>
    <w:rsid w:val="0073386F"/>
    <w:rsid w:val="007510EC"/>
    <w:rsid w:val="00757159"/>
    <w:rsid w:val="00763530"/>
    <w:rsid w:val="007655B2"/>
    <w:rsid w:val="0078303E"/>
    <w:rsid w:val="00784956"/>
    <w:rsid w:val="007A289E"/>
    <w:rsid w:val="007B1C56"/>
    <w:rsid w:val="007B3E77"/>
    <w:rsid w:val="007D70C2"/>
    <w:rsid w:val="007E0732"/>
    <w:rsid w:val="007E604E"/>
    <w:rsid w:val="007F2C21"/>
    <w:rsid w:val="007F4389"/>
    <w:rsid w:val="00812EFA"/>
    <w:rsid w:val="00816A2F"/>
    <w:rsid w:val="0083770F"/>
    <w:rsid w:val="0084129F"/>
    <w:rsid w:val="0084729F"/>
    <w:rsid w:val="00852EA4"/>
    <w:rsid w:val="00864343"/>
    <w:rsid w:val="008729FF"/>
    <w:rsid w:val="00873EE9"/>
    <w:rsid w:val="00885BF8"/>
    <w:rsid w:val="00896A0B"/>
    <w:rsid w:val="008A1031"/>
    <w:rsid w:val="008A64B9"/>
    <w:rsid w:val="008C1F03"/>
    <w:rsid w:val="008E495F"/>
    <w:rsid w:val="008E643D"/>
    <w:rsid w:val="00914CAC"/>
    <w:rsid w:val="00933443"/>
    <w:rsid w:val="009340B5"/>
    <w:rsid w:val="009375F5"/>
    <w:rsid w:val="00946D4D"/>
    <w:rsid w:val="00966E0A"/>
    <w:rsid w:val="00971252"/>
    <w:rsid w:val="009A0090"/>
    <w:rsid w:val="009B39B8"/>
    <w:rsid w:val="009E629C"/>
    <w:rsid w:val="009F4CC0"/>
    <w:rsid w:val="009F7F41"/>
    <w:rsid w:val="00A06E26"/>
    <w:rsid w:val="00A11602"/>
    <w:rsid w:val="00A1529B"/>
    <w:rsid w:val="00A178F2"/>
    <w:rsid w:val="00A55173"/>
    <w:rsid w:val="00A61F6D"/>
    <w:rsid w:val="00A65BBB"/>
    <w:rsid w:val="00A667B5"/>
    <w:rsid w:val="00A81EE0"/>
    <w:rsid w:val="00A919D8"/>
    <w:rsid w:val="00AA3DED"/>
    <w:rsid w:val="00AA41DE"/>
    <w:rsid w:val="00AB5CAE"/>
    <w:rsid w:val="00AD0322"/>
    <w:rsid w:val="00AE1443"/>
    <w:rsid w:val="00AE6C53"/>
    <w:rsid w:val="00AF649A"/>
    <w:rsid w:val="00B02343"/>
    <w:rsid w:val="00B03A8F"/>
    <w:rsid w:val="00B03A95"/>
    <w:rsid w:val="00B06973"/>
    <w:rsid w:val="00B14502"/>
    <w:rsid w:val="00B237F7"/>
    <w:rsid w:val="00B26698"/>
    <w:rsid w:val="00B27187"/>
    <w:rsid w:val="00B313A0"/>
    <w:rsid w:val="00B36375"/>
    <w:rsid w:val="00B37985"/>
    <w:rsid w:val="00B420E2"/>
    <w:rsid w:val="00B446CE"/>
    <w:rsid w:val="00B4711B"/>
    <w:rsid w:val="00B51807"/>
    <w:rsid w:val="00B62D5F"/>
    <w:rsid w:val="00B77FBC"/>
    <w:rsid w:val="00B80410"/>
    <w:rsid w:val="00B9475A"/>
    <w:rsid w:val="00B977E0"/>
    <w:rsid w:val="00BE4941"/>
    <w:rsid w:val="00BF161F"/>
    <w:rsid w:val="00BF350D"/>
    <w:rsid w:val="00C03985"/>
    <w:rsid w:val="00C06AFF"/>
    <w:rsid w:val="00C12AB4"/>
    <w:rsid w:val="00C15621"/>
    <w:rsid w:val="00C17531"/>
    <w:rsid w:val="00C5164A"/>
    <w:rsid w:val="00C63B0C"/>
    <w:rsid w:val="00C7042B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50CD5"/>
    <w:rsid w:val="00D90357"/>
    <w:rsid w:val="00D92DAC"/>
    <w:rsid w:val="00DB28EF"/>
    <w:rsid w:val="00DB4835"/>
    <w:rsid w:val="00DC6FB3"/>
    <w:rsid w:val="00DC7F56"/>
    <w:rsid w:val="00DD7900"/>
    <w:rsid w:val="00DE1FEC"/>
    <w:rsid w:val="00E270DE"/>
    <w:rsid w:val="00E358C8"/>
    <w:rsid w:val="00E617F8"/>
    <w:rsid w:val="00E61F9C"/>
    <w:rsid w:val="00E66E78"/>
    <w:rsid w:val="00E95490"/>
    <w:rsid w:val="00EB597A"/>
    <w:rsid w:val="00EB6DB3"/>
    <w:rsid w:val="00EC047C"/>
    <w:rsid w:val="00EC24B1"/>
    <w:rsid w:val="00EC2D0A"/>
    <w:rsid w:val="00EF4B7B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97826"/>
    <w:rsid w:val="00FA17A2"/>
    <w:rsid w:val="00FA412F"/>
    <w:rsid w:val="00FB08F3"/>
    <w:rsid w:val="00FB1B92"/>
    <w:rsid w:val="00FC42B8"/>
    <w:rsid w:val="00FE26B8"/>
    <w:rsid w:val="00FE5F7E"/>
    <w:rsid w:val="00FF2E1E"/>
    <w:rsid w:val="00FF4349"/>
    <w:rsid w:val="06B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spacing w:before="240" w:after="60" w:line="240" w:lineRule="auto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  <w:lang w:val="en-IE" w:bidi="fa-I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9"/>
    <w:semiHidden/>
    <w:unhideWhenUsed/>
    <w:uiPriority w:val="99"/>
    <w:rPr>
      <w:b/>
      <w:bCs/>
    </w:rPr>
  </w:style>
  <w:style w:type="paragraph" w:styleId="9">
    <w:name w:val="footer"/>
    <w:basedOn w:val="1"/>
    <w:link w:val="2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3"/>
    <w:semiHidden/>
    <w:unhideWhenUsed/>
    <w:uiPriority w:val="99"/>
    <w:rPr>
      <w:vertAlign w:val="superscript"/>
    </w:rPr>
  </w:style>
  <w:style w:type="paragraph" w:styleId="11">
    <w:name w:val="footnote text"/>
    <w:basedOn w:val="1"/>
    <w:link w:val="2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basedOn w:val="3"/>
    <w:unhideWhenUsed/>
    <w:uiPriority w:val="99"/>
    <w:rPr>
      <w:color w:val="0000FF"/>
      <w:u w:val="single"/>
    </w:rPr>
  </w:style>
  <w:style w:type="table" w:styleId="14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table" w:customStyle="1" w:styleId="17">
    <w:name w:val="Grid Table 4 - Accent 51"/>
    <w:basedOn w:val="4"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8">
    <w:name w:val="Comment Text Char"/>
    <w:basedOn w:val="3"/>
    <w:link w:val="7"/>
    <w:semiHidden/>
    <w:uiPriority w:val="99"/>
    <w:rPr>
      <w:sz w:val="20"/>
      <w:szCs w:val="20"/>
    </w:rPr>
  </w:style>
  <w:style w:type="character" w:customStyle="1" w:styleId="19">
    <w:name w:val="Comment Subject Char"/>
    <w:basedOn w:val="18"/>
    <w:link w:val="8"/>
    <w:semiHidden/>
    <w:uiPriority w:val="99"/>
    <w:rPr>
      <w:b/>
      <w:bCs/>
      <w:sz w:val="20"/>
      <w:szCs w:val="20"/>
    </w:rPr>
  </w:style>
  <w:style w:type="paragraph" w:customStyle="1" w:styleId="20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1">
    <w:name w:val="Footnote Text Char"/>
    <w:basedOn w:val="3"/>
    <w:link w:val="11"/>
    <w:semiHidden/>
    <w:uiPriority w:val="99"/>
    <w:rPr>
      <w:sz w:val="20"/>
      <w:szCs w:val="20"/>
    </w:rPr>
  </w:style>
  <w:style w:type="character" w:customStyle="1" w:styleId="22">
    <w:name w:val="Header Char"/>
    <w:basedOn w:val="3"/>
    <w:link w:val="12"/>
    <w:uiPriority w:val="99"/>
  </w:style>
  <w:style w:type="character" w:customStyle="1" w:styleId="23">
    <w:name w:val="Footer Char"/>
    <w:basedOn w:val="3"/>
    <w:link w:val="9"/>
    <w:uiPriority w:val="99"/>
  </w:style>
  <w:style w:type="table" w:customStyle="1" w:styleId="24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Heading 1 Char"/>
    <w:basedOn w:val="3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val="en-IE" w:bidi="fa-IR"/>
    </w:rPr>
  </w:style>
  <w:style w:type="character" w:customStyle="1" w:styleId="26">
    <w:name w:val="inline"/>
    <w:uiPriority w:val="0"/>
  </w:style>
  <w:style w:type="character" w:customStyle="1" w:styleId="27">
    <w:name w:val="field--highwire-content-title"/>
    <w:basedOn w:val="3"/>
    <w:uiPriority w:val="0"/>
  </w:style>
  <w:style w:type="character" w:customStyle="1" w:styleId="28">
    <w:name w:val="fontstyle01"/>
    <w:basedOn w:val="3"/>
    <w:uiPriority w:val="0"/>
    <w:rPr>
      <w:rFonts w:hint="cs" w:cs="B Nazanin"/>
      <w:b/>
      <w:bCs/>
      <w:color w:val="000000"/>
      <w:sz w:val="24"/>
      <w:szCs w:val="24"/>
    </w:rPr>
  </w:style>
  <w:style w:type="table" w:customStyle="1" w:styleId="29">
    <w:name w:val="Table Grid2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E050-DC4B-4C1E-8E23-F8A34A665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1206</Words>
  <Characters>6876</Characters>
  <Lines>57</Lines>
  <Paragraphs>16</Paragraphs>
  <TotalTime>8</TotalTime>
  <ScaleCrop>false</ScaleCrop>
  <LinksUpToDate>false</LinksUpToDate>
  <CharactersWithSpaces>8066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2023-01-17T06:23:00Z</dcterms:created>
  <dc:creator>naghsh</dc:creator>
  <cp:lastModifiedBy>Dr.khoshkesht</cp:lastModifiedBy>
  <cp:lastPrinted>2021-09-04T20:18:00Z</cp:lastPrinted>
  <dcterms:modified xsi:type="dcterms:W3CDTF">2024-03-13T05:16:44Z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e5133c479d78a9adae1f5702c759d50be39e4a7485e30fa087ea71764da84702</vt:lpwstr>
  </property>
  <property fmtid="{D5CDD505-2E9C-101B-9397-08002B2CF9AE}" pid="3" name="KSOProductBuildVer">
    <vt:lpwstr>1033-12.2.0.13489</vt:lpwstr>
  </property>
  <property fmtid="{D5CDD505-2E9C-101B-9397-08002B2CF9AE}" pid="4" name="ICV">
    <vt:lpwstr>F27F7736EDBA4F46BB38C2F3FD1C7DEE_12</vt:lpwstr>
  </property>
</Properties>
</file>